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300" w:before="0" w:after="0"/>
        <w:jc w:val="center"/>
        <w:rPr>
          <w:rFonts w:ascii="Times New Roman" w:hAnsi="Times New Roman" w:cs="Times New Roman"/>
          <w:b/>
          <w:b/>
          <w:bCs/>
          <w:sz w:val="30"/>
          <w:szCs w:val="30"/>
        </w:rPr>
      </w:pPr>
      <w:r>
        <w:rPr>
          <w:rFonts w:cs="Times New Roman" w:ascii="Times New Roman" w:hAnsi="Times New Roman"/>
          <w:b/>
          <w:bCs/>
          <w:sz w:val="30"/>
          <w:szCs w:val="30"/>
        </w:rPr>
        <w:t xml:space="preserve">Доклад председателя </w:t>
      </w:r>
    </w:p>
    <w:p>
      <w:pPr>
        <w:pStyle w:val="Normal"/>
        <w:spacing w:lineRule="auto" w:line="300" w:before="0" w:after="0"/>
        <w:jc w:val="center"/>
        <w:rPr>
          <w:rFonts w:ascii="Times New Roman" w:hAnsi="Times New Roman" w:cs="Times New Roman"/>
          <w:b/>
          <w:b/>
          <w:bCs/>
          <w:sz w:val="30"/>
          <w:szCs w:val="30"/>
        </w:rPr>
      </w:pPr>
      <w:r>
        <w:rPr>
          <w:rFonts w:cs="Times New Roman" w:ascii="Times New Roman" w:hAnsi="Times New Roman"/>
          <w:b/>
          <w:bCs/>
          <w:sz w:val="30"/>
          <w:szCs w:val="30"/>
        </w:rPr>
        <w:t>Комитета по охране объектов культурного наследия                          Псковской области</w:t>
      </w:r>
    </w:p>
    <w:p>
      <w:pPr>
        <w:pStyle w:val="Normal"/>
        <w:spacing w:lineRule="auto" w:line="300" w:before="0" w:after="0"/>
        <w:jc w:val="center"/>
        <w:rPr>
          <w:rFonts w:ascii="Times New Roman" w:hAnsi="Times New Roman" w:cs="Times New Roman"/>
          <w:b/>
          <w:b/>
          <w:bCs/>
          <w:sz w:val="30"/>
          <w:szCs w:val="30"/>
        </w:rPr>
      </w:pPr>
      <w:r>
        <w:rPr/>
      </w:r>
    </w:p>
    <w:p>
      <w:pPr>
        <w:pStyle w:val="Normal"/>
        <w:spacing w:lineRule="auto" w:line="300" w:before="0" w:after="0"/>
        <w:jc w:val="center"/>
        <w:rPr>
          <w:rFonts w:ascii="Times New Roman" w:hAnsi="Times New Roman" w:cs="Times New Roman"/>
          <w:b/>
          <w:b/>
          <w:bCs/>
          <w:sz w:val="30"/>
          <w:szCs w:val="30"/>
        </w:rPr>
      </w:pPr>
      <w:r>
        <w:rPr>
          <w:rFonts w:cs="Times New Roman" w:ascii="Times New Roman" w:hAnsi="Times New Roman"/>
          <w:b/>
          <w:bCs/>
          <w:sz w:val="30"/>
          <w:szCs w:val="30"/>
        </w:rPr>
        <w:t>Международный день памятников и исторических мест</w:t>
      </w:r>
    </w:p>
    <w:p>
      <w:pPr>
        <w:pStyle w:val="Normal"/>
        <w:spacing w:lineRule="auto" w:line="300" w:before="0" w:after="0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cs="Times New Roman" w:ascii="Times New Roman" w:hAnsi="Times New Roman"/>
          <w:sz w:val="30"/>
          <w:szCs w:val="30"/>
        </w:rPr>
        <w:t xml:space="preserve"> </w:t>
      </w:r>
      <w:r>
        <w:rPr>
          <w:rFonts w:cs="Times New Roman" w:ascii="Times New Roman" w:hAnsi="Times New Roman"/>
          <w:sz w:val="30"/>
          <w:szCs w:val="30"/>
        </w:rPr>
        <w:t>(</w:t>
      </w:r>
      <w:r>
        <w:rPr>
          <w:rFonts w:cs="Times New Roman" w:ascii="Times New Roman" w:hAnsi="Times New Roman"/>
          <w:b/>
          <w:bCs/>
          <w:sz w:val="30"/>
          <w:szCs w:val="30"/>
        </w:rPr>
        <w:t>День всемирного наследия</w:t>
      </w:r>
      <w:r>
        <w:rPr>
          <w:rFonts w:cs="Times New Roman" w:ascii="Times New Roman" w:hAnsi="Times New Roman"/>
          <w:sz w:val="30"/>
          <w:szCs w:val="30"/>
        </w:rPr>
        <w:t xml:space="preserve">) </w:t>
      </w:r>
    </w:p>
    <w:p>
      <w:pPr>
        <w:pStyle w:val="Normal"/>
        <w:spacing w:lineRule="auto" w:line="300" w:before="0" w:after="0"/>
        <w:jc w:val="center"/>
        <w:rPr>
          <w:rFonts w:ascii="Times New Roman" w:hAnsi="Times New Roman" w:cs="Times New Roman"/>
          <w:sz w:val="30"/>
          <w:szCs w:val="30"/>
        </w:rPr>
      </w:pPr>
      <w:r>
        <w:rPr/>
      </w:r>
    </w:p>
    <w:p>
      <w:pPr>
        <w:pStyle w:val="Normal"/>
        <w:spacing w:lineRule="auto" w:line="300" w:before="0" w:after="0"/>
        <w:jc w:val="center"/>
        <w:rPr>
          <w:rFonts w:ascii="Calibri" w:hAnsi="Calibri" w:cs="Calibri"/>
        </w:rPr>
      </w:pPr>
      <w:r>
        <w:rPr>
          <w:rFonts w:cs="Calibri"/>
        </w:rPr>
      </w:r>
    </w:p>
    <w:p>
      <w:pPr>
        <w:pStyle w:val="Normal"/>
        <w:spacing w:lineRule="auto" w:line="300" w:before="0" w:after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cs="Times New Roman" w:ascii="Times New Roman" w:hAnsi="Times New Roman"/>
          <w:sz w:val="30"/>
          <w:szCs w:val="30"/>
        </w:rPr>
        <w:tab/>
        <w:t xml:space="preserve">Отмечается 18 апреля. </w:t>
      </w:r>
    </w:p>
    <w:p>
      <w:pPr>
        <w:pStyle w:val="Normal"/>
        <w:spacing w:lineRule="auto" w:line="300" w:before="0" w:after="0"/>
        <w:jc w:val="both"/>
        <w:rPr>
          <w:rFonts w:ascii="Calibri" w:hAnsi="Calibri" w:cs="Calibri"/>
        </w:rPr>
      </w:pPr>
      <w:r>
        <w:rPr>
          <w:rFonts w:cs="Calibri"/>
        </w:rPr>
      </w:r>
    </w:p>
    <w:p>
      <w:pPr>
        <w:pStyle w:val="Normal"/>
        <w:spacing w:lineRule="auto" w:line="300" w:before="0" w:after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cs="Times New Roman" w:ascii="Times New Roman" w:hAnsi="Times New Roman"/>
          <w:sz w:val="30"/>
          <w:szCs w:val="30"/>
        </w:rPr>
        <w:tab/>
      </w:r>
      <w:r>
        <w:rPr>
          <w:rFonts w:cs="Times New Roman" w:ascii="Times New Roman" w:hAnsi="Times New Roman"/>
          <w:sz w:val="30"/>
          <w:szCs w:val="30"/>
        </w:rPr>
        <w:t xml:space="preserve">Установлен в 1983 году Ассамблеей Международного совета                       по вопросам охраны памятников и достопримечательных мест (ИКОМОС), созданной при ЮНЕСКО, с целью привлечь внимание общественности к вопросам защиты и сохранения всемирного культурного наследия. </w:t>
      </w:r>
    </w:p>
    <w:p>
      <w:pPr>
        <w:pStyle w:val="Normal"/>
        <w:spacing w:lineRule="auto" w:line="300" w:before="0" w:after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cs="Times New Roman" w:ascii="Times New Roman" w:hAnsi="Times New Roman"/>
          <w:sz w:val="30"/>
          <w:szCs w:val="30"/>
        </w:rPr>
        <w:tab/>
        <w:t>Впервые, на межгосударственном уровне, день памятников</w:t>
        <w:br/>
        <w:t xml:space="preserve">и исторических мест отмечался 18 апреля 1984 года. </w:t>
      </w:r>
    </w:p>
    <w:p>
      <w:pPr>
        <w:pStyle w:val="Normal"/>
        <w:spacing w:lineRule="auto" w:line="300" w:before="0" w:after="1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cs="Times New Roman" w:ascii="Times New Roman" w:hAnsi="Times New Roman"/>
          <w:sz w:val="30"/>
          <w:szCs w:val="30"/>
        </w:rPr>
        <w:tab/>
        <w:t xml:space="preserve">Праздник отмечается с целью привлечь внимание общественности </w:t>
        <w:br/>
        <w:t xml:space="preserve">к вопросам защиты и сохранения всемирного культурного наследия. </w:t>
      </w:r>
    </w:p>
    <w:p>
      <w:pPr>
        <w:pStyle w:val="Normal"/>
        <w:spacing w:lineRule="auto" w:line="300" w:before="0" w:after="0"/>
        <w:jc w:val="both"/>
        <w:rPr>
          <w:rFonts w:ascii="Times New Roman" w:hAnsi="Times New Roman" w:cs="Times New Roman"/>
          <w:b/>
          <w:b/>
          <w:bCs/>
          <w:sz w:val="30"/>
          <w:szCs w:val="30"/>
        </w:rPr>
      </w:pPr>
      <w:r>
        <w:rPr>
          <w:rFonts w:cs="Times New Roman" w:ascii="Times New Roman" w:hAnsi="Times New Roman"/>
          <w:b/>
          <w:bCs/>
          <w:sz w:val="30"/>
          <w:szCs w:val="30"/>
        </w:rPr>
        <w:t xml:space="preserve">Традиции всемирного праздника </w:t>
      </w:r>
    </w:p>
    <w:p>
      <w:pPr>
        <w:pStyle w:val="Normal"/>
        <w:spacing w:lineRule="auto" w:line="300" w:before="0" w:after="28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cs="Times New Roman" w:ascii="Times New Roman" w:hAnsi="Times New Roman"/>
          <w:sz w:val="30"/>
          <w:szCs w:val="30"/>
        </w:rPr>
        <w:t xml:space="preserve">Ежегодно ICOMOS предлагает основную тему празднования. За последние годы выбирали следующие направления: </w:t>
      </w:r>
    </w:p>
    <w:p>
      <w:pPr>
        <w:pStyle w:val="Normal"/>
        <w:numPr>
          <w:ilvl w:val="0"/>
          <w:numId w:val="1"/>
        </w:numPr>
        <w:spacing w:lineRule="auto" w:line="300" w:before="0" w:after="1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cs="Times New Roman" w:ascii="Times New Roman" w:hAnsi="Times New Roman"/>
          <w:sz w:val="30"/>
          <w:szCs w:val="30"/>
        </w:rPr>
        <w:t xml:space="preserve">историческое наследие и туризм; </w:t>
      </w:r>
    </w:p>
    <w:p>
      <w:pPr>
        <w:pStyle w:val="Normal"/>
        <w:numPr>
          <w:ilvl w:val="0"/>
          <w:numId w:val="1"/>
        </w:numPr>
        <w:spacing w:lineRule="auto" w:line="300" w:before="0" w:after="1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cs="Times New Roman" w:ascii="Times New Roman" w:hAnsi="Times New Roman"/>
          <w:sz w:val="30"/>
          <w:szCs w:val="30"/>
        </w:rPr>
        <w:t xml:space="preserve">историческое наследие и связь поколений; </w:t>
      </w:r>
    </w:p>
    <w:p>
      <w:pPr>
        <w:pStyle w:val="Normal"/>
        <w:numPr>
          <w:ilvl w:val="0"/>
          <w:numId w:val="1"/>
        </w:numPr>
        <w:spacing w:lineRule="auto" w:line="300" w:before="0" w:after="1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cs="Times New Roman" w:ascii="Times New Roman" w:hAnsi="Times New Roman"/>
          <w:sz w:val="30"/>
          <w:szCs w:val="30"/>
        </w:rPr>
        <w:t xml:space="preserve">спортивное наследие; </w:t>
      </w:r>
    </w:p>
    <w:p>
      <w:pPr>
        <w:pStyle w:val="Normal"/>
        <w:numPr>
          <w:ilvl w:val="0"/>
          <w:numId w:val="1"/>
        </w:numPr>
        <w:spacing w:lineRule="auto" w:line="300" w:before="0" w:after="1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cs="Times New Roman" w:ascii="Times New Roman" w:hAnsi="Times New Roman"/>
          <w:sz w:val="30"/>
          <w:szCs w:val="30"/>
        </w:rPr>
        <w:t xml:space="preserve">общие культуры, общее наследие, общая ответственность. </w:t>
      </w:r>
    </w:p>
    <w:p>
      <w:pPr>
        <w:pStyle w:val="Normal"/>
        <w:spacing w:lineRule="auto" w:line="300" w:before="0" w:after="140"/>
        <w:ind w:left="737" w:hanging="3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cs="Times New Roman" w:ascii="Times New Roman" w:hAnsi="Times New Roman"/>
          <w:sz w:val="30"/>
          <w:szCs w:val="30"/>
        </w:rPr>
        <w:t>В 2021 году обозначена тема</w:t>
      </w:r>
    </w:p>
    <w:p>
      <w:pPr>
        <w:pStyle w:val="Normal"/>
        <w:numPr>
          <w:ilvl w:val="0"/>
          <w:numId w:val="1"/>
        </w:numPr>
        <w:spacing w:lineRule="auto" w:line="300" w:before="0" w:after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cs="Times New Roman" w:ascii="Times New Roman" w:hAnsi="Times New Roman"/>
          <w:b/>
          <w:bCs/>
          <w:sz w:val="30"/>
          <w:szCs w:val="30"/>
        </w:rPr>
        <w:t>Сложное прошлое: разнообразное будущее</w:t>
      </w:r>
      <w:r>
        <w:rPr>
          <w:rFonts w:cs="Times New Roman" w:ascii="Times New Roman" w:hAnsi="Times New Roman"/>
          <w:sz w:val="30"/>
          <w:szCs w:val="30"/>
        </w:rPr>
        <w:t xml:space="preserve">. </w:t>
      </w:r>
    </w:p>
    <w:p>
      <w:pPr>
        <w:pStyle w:val="Normal"/>
        <w:spacing w:lineRule="auto" w:line="300" w:before="0" w:after="0"/>
        <w:jc w:val="both"/>
        <w:rPr>
          <w:rFonts w:ascii="Calibri" w:hAnsi="Calibri" w:cs="Calibri"/>
          <w:lang w:val="en-US"/>
        </w:rPr>
      </w:pPr>
      <w:r>
        <w:rPr>
          <w:rFonts w:cs="Calibri" w:ascii="Times New Roman" w:hAnsi="Times New Roman"/>
          <w:sz w:val="30"/>
          <w:szCs w:val="30"/>
          <w:lang w:val="en-US"/>
        </w:rPr>
      </w:r>
    </w:p>
    <w:p>
      <w:pPr>
        <w:pStyle w:val="Normal"/>
        <w:spacing w:lineRule="auto" w:line="300" w:before="0" w:after="0"/>
        <w:jc w:val="both"/>
        <w:rPr>
          <w:rFonts w:ascii="Times New Roman" w:hAnsi="Times New Roman" w:cs="Times New Roman"/>
          <w:b/>
          <w:b/>
          <w:bCs/>
          <w:sz w:val="30"/>
          <w:szCs w:val="30"/>
        </w:rPr>
      </w:pPr>
      <w:r>
        <w:rPr>
          <w:rFonts w:cs="Times New Roman" w:ascii="Times New Roman" w:hAnsi="Times New Roman"/>
          <w:sz w:val="30"/>
          <w:szCs w:val="30"/>
        </w:rPr>
        <w:t xml:space="preserve"> </w:t>
      </w:r>
      <w:r>
        <w:rPr>
          <w:rFonts w:cs="Times New Roman" w:ascii="Times New Roman" w:hAnsi="Times New Roman"/>
          <w:b/>
          <w:bCs/>
          <w:sz w:val="30"/>
          <w:szCs w:val="30"/>
        </w:rPr>
        <w:t>Охрана памятников и исторических мест в истории</w:t>
      </w:r>
    </w:p>
    <w:p>
      <w:pPr>
        <w:pStyle w:val="Normal"/>
        <w:spacing w:lineRule="auto" w:line="300" w:before="0" w:after="0"/>
        <w:jc w:val="both"/>
        <w:rPr>
          <w:rFonts w:ascii="Times New Roman" w:hAnsi="Times New Roman" w:cs="Times New Roman"/>
          <w:i/>
          <w:i/>
          <w:iCs/>
          <w:sz w:val="30"/>
          <w:szCs w:val="30"/>
        </w:rPr>
      </w:pPr>
      <w:r>
        <w:rPr>
          <w:rFonts w:cs="Times New Roman" w:ascii="Times New Roman" w:hAnsi="Times New Roman"/>
          <w:i/>
          <w:iCs/>
          <w:sz w:val="30"/>
          <w:szCs w:val="30"/>
        </w:rPr>
        <w:t>(Сложное прошлое)</w:t>
      </w:r>
    </w:p>
    <w:p>
      <w:pPr>
        <w:pStyle w:val="Normal"/>
        <w:spacing w:lineRule="auto" w:line="300" w:before="0" w:after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cs="Times New Roman" w:ascii="Times New Roman" w:hAnsi="Times New Roman"/>
          <w:sz w:val="30"/>
          <w:szCs w:val="30"/>
        </w:rPr>
        <w:tab/>
        <w:t xml:space="preserve">В России до 18 века вообще не существовало такого понятия, как “памятник”. Охранялись государством и почитались народом только религиозные святыни. </w:t>
      </w:r>
    </w:p>
    <w:p>
      <w:pPr>
        <w:pStyle w:val="Normal"/>
        <w:spacing w:lineRule="auto" w:line="300" w:before="0" w:after="0"/>
        <w:jc w:val="both"/>
        <w:rPr>
          <w:rFonts w:ascii="Times New Roman" w:hAnsi="Times New Roman" w:cs="Times New Roman"/>
          <w:b/>
          <w:b/>
          <w:bCs/>
          <w:sz w:val="30"/>
          <w:szCs w:val="30"/>
        </w:rPr>
      </w:pPr>
      <w:r>
        <w:rPr>
          <w:rFonts w:cs="Times New Roman" w:ascii="Times New Roman" w:hAnsi="Times New Roman"/>
          <w:b/>
          <w:bCs/>
          <w:sz w:val="30"/>
          <w:szCs w:val="30"/>
        </w:rPr>
        <w:tab/>
      </w:r>
      <w:r>
        <w:rPr>
          <w:rFonts w:cs="Times New Roman" w:ascii="Times New Roman" w:hAnsi="Times New Roman"/>
          <w:sz w:val="30"/>
          <w:szCs w:val="30"/>
        </w:rPr>
        <w:t xml:space="preserve">В Российской Империи инициатива сохранения памятников принадлежит главному реформатору — </w:t>
      </w:r>
      <w:r>
        <w:rPr>
          <w:rFonts w:cs="Times New Roman" w:ascii="Times New Roman" w:hAnsi="Times New Roman"/>
          <w:b/>
          <w:bCs/>
          <w:sz w:val="30"/>
          <w:szCs w:val="30"/>
        </w:rPr>
        <w:t>Петру I</w:t>
      </w:r>
      <w:r>
        <w:rPr>
          <w:rFonts w:cs="Times New Roman" w:ascii="Times New Roman" w:hAnsi="Times New Roman"/>
          <w:sz w:val="30"/>
          <w:szCs w:val="30"/>
        </w:rPr>
        <w:t>. Он подписал первый</w:t>
        <w:br/>
        <w:t>в истории страны указ об охране памятников архитектуры в 1722 году. Объектом указа стал древний город Булгар — столица средневековой Волжской Булгарии, сейчас — историческое и почитаемое место                      на территории Республики Татарстан. Петр приказал провести охранные работы и сделать копии памятников Булгарского городища                               для дальнейшего их изучения. Указ послужил толчком к другим мероприятиям по сохранению культурного наследия, благодаря чему                   до нас дошли многочисленные памятники природы и архитектуры</w:t>
      </w:r>
      <w:r>
        <w:rPr>
          <w:rFonts w:cs="Times New Roman" w:ascii="Times New Roman" w:hAnsi="Times New Roman"/>
          <w:b/>
          <w:bCs/>
          <w:sz w:val="30"/>
          <w:szCs w:val="30"/>
        </w:rPr>
        <w:t xml:space="preserve">. </w:t>
      </w:r>
    </w:p>
    <w:p>
      <w:pPr>
        <w:pStyle w:val="Normal"/>
        <w:spacing w:lineRule="auto" w:line="300" w:before="0" w:after="1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cs="Times New Roman" w:ascii="Times New Roman" w:hAnsi="Times New Roman"/>
          <w:sz w:val="30"/>
          <w:szCs w:val="30"/>
        </w:rPr>
        <w:tab/>
        <w:t xml:space="preserve">Во времена правления </w:t>
      </w:r>
      <w:r>
        <w:rPr>
          <w:rFonts w:cs="Times New Roman" w:ascii="Times New Roman" w:hAnsi="Times New Roman"/>
          <w:b/>
          <w:bCs/>
          <w:sz w:val="30"/>
          <w:szCs w:val="30"/>
        </w:rPr>
        <w:t>Николая I</w:t>
      </w:r>
      <w:r>
        <w:rPr>
          <w:rFonts w:cs="Times New Roman" w:ascii="Times New Roman" w:hAnsi="Times New Roman"/>
          <w:sz w:val="30"/>
          <w:szCs w:val="30"/>
        </w:rPr>
        <w:t xml:space="preserve"> запрещалось разрушать постройки крепостного зодчества. Именно к этому времени и относятся первые попытки проведения реставрационных работ и воссоздания некоторых памятников истории.</w:t>
      </w:r>
    </w:p>
    <w:p>
      <w:pPr>
        <w:pStyle w:val="Normal"/>
        <w:spacing w:lineRule="auto" w:line="300" w:before="0" w:after="1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cs="Times New Roman" w:ascii="Times New Roman" w:hAnsi="Times New Roman"/>
          <w:sz w:val="30"/>
          <w:szCs w:val="30"/>
        </w:rPr>
        <w:tab/>
        <w:t>До революции в России сформировались различные общества, занимавшиеся охраной и изучением памятников. Способствовали сохранению памятников также музеи, церковные археологические общества и древлехранилища.</w:t>
      </w:r>
    </w:p>
    <w:p>
      <w:pPr>
        <w:pStyle w:val="Normal"/>
        <w:spacing w:lineRule="auto" w:line="300" w:before="0" w:after="1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cs="Times New Roman" w:ascii="Times New Roman" w:hAnsi="Times New Roman"/>
          <w:sz w:val="30"/>
          <w:szCs w:val="30"/>
        </w:rPr>
        <w:tab/>
        <w:t>Революционные потрясения и гражданская война очень сильно изменили отношение к памятникам искусства и старины. Все старое стало беспощадно уничтожаться, начались разделы и стихийные погромы имений, церкви и монастыри стали использоваться для хозяйственных нужд или  были разрушены. Возникла острая необходимость в спасении бесценного культурного наследия России. В это время была сформирована государственная система охраны памятников.</w:t>
      </w:r>
    </w:p>
    <w:p>
      <w:pPr>
        <w:pStyle w:val="Normal"/>
        <w:spacing w:lineRule="auto" w:line="300" w:before="0" w:after="140"/>
        <w:jc w:val="both"/>
        <w:rPr>
          <w:rFonts w:ascii="Times New Roman" w:hAnsi="Times New Roman" w:cs="Times New Roman"/>
          <w:b/>
          <w:b/>
          <w:bCs/>
          <w:sz w:val="30"/>
          <w:szCs w:val="30"/>
        </w:rPr>
      </w:pPr>
      <w:r>
        <w:rPr>
          <w:rFonts w:cs="Times New Roman" w:ascii="Times New Roman" w:hAnsi="Times New Roman"/>
          <w:b/>
          <w:bCs/>
          <w:sz w:val="30"/>
          <w:szCs w:val="30"/>
        </w:rPr>
        <w:t>Значение охраны памятников в современном обществе</w:t>
      </w:r>
    </w:p>
    <w:p>
      <w:pPr>
        <w:pStyle w:val="Normal"/>
        <w:spacing w:lineRule="auto" w:line="300" w:before="0" w:after="140"/>
        <w:jc w:val="both"/>
        <w:rPr>
          <w:rFonts w:ascii="Times New Roman" w:hAnsi="Times New Roman" w:cs="Times New Roman"/>
          <w:i/>
          <w:i/>
          <w:iCs/>
          <w:sz w:val="30"/>
          <w:szCs w:val="30"/>
        </w:rPr>
      </w:pPr>
      <w:r>
        <w:rPr>
          <w:rFonts w:cs="Times New Roman" w:ascii="Times New Roman" w:hAnsi="Times New Roman"/>
          <w:i/>
          <w:iCs/>
          <w:sz w:val="30"/>
          <w:szCs w:val="30"/>
          <w:lang w:val="en-US"/>
        </w:rPr>
        <w:t>(</w:t>
      </w:r>
      <w:r>
        <w:rPr>
          <w:rFonts w:cs="Times New Roman" w:ascii="Times New Roman" w:hAnsi="Times New Roman"/>
          <w:i/>
          <w:iCs/>
          <w:sz w:val="30"/>
          <w:szCs w:val="30"/>
        </w:rPr>
        <w:t>Разнообразное будущее)</w:t>
      </w:r>
    </w:p>
    <w:p>
      <w:pPr>
        <w:pStyle w:val="Normal"/>
        <w:spacing w:lineRule="auto" w:line="300" w:before="0" w:after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cs="Times New Roman" w:ascii="Times New Roman" w:hAnsi="Times New Roman"/>
          <w:sz w:val="30"/>
          <w:szCs w:val="30"/>
        </w:rPr>
        <w:t xml:space="preserve"> </w:t>
      </w:r>
      <w:r>
        <w:rPr>
          <w:rFonts w:cs="Times New Roman" w:ascii="Times New Roman" w:hAnsi="Times New Roman"/>
          <w:sz w:val="30"/>
          <w:szCs w:val="30"/>
        </w:rPr>
        <w:tab/>
        <w:t xml:space="preserve">Объекты культурного наследия являются одним из видов памятников истории и культуры нашей страны, т. е. неотъемлемой частью мировой культуры и иллюстрируют огромный вклад России в развитие мировых цивилизаций. Соответственно, сегодня достаточно актуальной является проблема сохранения этих памятников для того, чтобы передать культурное наследие будущим поколениям. </w:t>
      </w:r>
    </w:p>
    <w:p>
      <w:pPr>
        <w:pStyle w:val="Normal"/>
        <w:spacing w:lineRule="auto" w:line="300" w:before="0" w:after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cs="Times New Roman" w:ascii="Times New Roman" w:hAnsi="Times New Roman"/>
          <w:sz w:val="30"/>
          <w:szCs w:val="30"/>
        </w:rPr>
        <w:tab/>
        <w:t xml:space="preserve">Сегодня в России насчитывается около ста сорока тысяч ОКН, пятая часть которых – это памятники истории и культуры федерального значения. Организация сохранения и использования памятников является комплексной проблемой, и для того, чтобы ее решить, необходимо осуществлять совместную работу специалистов различного профиля </w:t>
      </w:r>
    </w:p>
    <w:p>
      <w:pPr>
        <w:pStyle w:val="Normal"/>
        <w:spacing w:lineRule="auto" w:line="300" w:before="0" w:after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cs="Times New Roman" w:ascii="Times New Roman" w:hAnsi="Times New Roman"/>
          <w:sz w:val="30"/>
          <w:szCs w:val="30"/>
        </w:rPr>
        <w:tab/>
        <w:t xml:space="preserve">В 2002 году Правительство РФ приняло ФЗ «Об объектах культурного наследия (памятниках истории и культуры) народов Российской Федерации», в котором были упорядочены действия субъектов, принимающих участие в сохранении, реставрации                                 и эксплуатации памятников. Законом так же регламентируются работы                        по консервации, ремонту, реставрации и использованию ОКН. </w:t>
      </w:r>
    </w:p>
    <w:p>
      <w:pPr>
        <w:pStyle w:val="Normal"/>
        <w:spacing w:lineRule="auto" w:line="300" w:before="0"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cs="Times New Roman" w:ascii="Times New Roman" w:hAnsi="Times New Roman"/>
          <w:sz w:val="30"/>
          <w:szCs w:val="30"/>
        </w:rPr>
        <w:t xml:space="preserve">В 2019 году на 43 Сессии межправительственного Комитета всемирного наследия было принято решение </w:t>
      </w:r>
      <w:r>
        <w:rPr>
          <w:rFonts w:cs="Segoe UI Symbol" w:ascii="Times New Roman" w:hAnsi="Times New Roman"/>
          <w:sz w:val="30"/>
          <w:szCs w:val="30"/>
        </w:rPr>
        <w:t>№</w:t>
      </w:r>
      <w:r>
        <w:rPr>
          <w:rFonts w:cs="Times New Roman" w:ascii="Times New Roman" w:hAnsi="Times New Roman"/>
          <w:sz w:val="30"/>
          <w:szCs w:val="30"/>
        </w:rPr>
        <w:t xml:space="preserve"> 43</w:t>
      </w:r>
      <w:r>
        <w:rPr>
          <w:rFonts w:cs="Times New Roman" w:ascii="Times New Roman" w:hAnsi="Times New Roman"/>
          <w:sz w:val="30"/>
          <w:szCs w:val="30"/>
          <w:lang w:val="en-US"/>
        </w:rPr>
        <w:t>COM</w:t>
      </w:r>
      <w:r>
        <w:rPr>
          <w:rFonts w:cs="Times New Roman" w:ascii="Times New Roman" w:hAnsi="Times New Roman"/>
          <w:sz w:val="30"/>
          <w:szCs w:val="30"/>
        </w:rPr>
        <w:t>/8</w:t>
      </w:r>
      <w:r>
        <w:rPr>
          <w:rFonts w:cs="Times New Roman" w:ascii="Times New Roman" w:hAnsi="Times New Roman"/>
          <w:sz w:val="30"/>
          <w:szCs w:val="30"/>
          <w:lang w:val="en-US"/>
        </w:rPr>
        <w:t>B</w:t>
      </w:r>
      <w:r>
        <w:rPr>
          <w:rFonts w:cs="Times New Roman" w:ascii="Times New Roman" w:hAnsi="Times New Roman"/>
          <w:sz w:val="30"/>
          <w:szCs w:val="30"/>
        </w:rPr>
        <w:t xml:space="preserve">.32 о внесении десяти памятников культового зодчества XII-XVI веков в список Всемирного   наследия ЮНЕСКО под общим названием «Храмы Псковской архитектурной школы» </w:t>
      </w:r>
    </w:p>
    <w:p>
      <w:pPr>
        <w:pStyle w:val="Normal"/>
        <w:spacing w:lineRule="auto" w:line="300" w:before="0"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cs="Times New Roman" w:ascii="Times New Roman" w:hAnsi="Times New Roman"/>
          <w:sz w:val="30"/>
          <w:szCs w:val="30"/>
        </w:rPr>
        <w:t xml:space="preserve">Это высокая оценка и признание уникального вклада псковских мастеров в сокровищницу мировой культуры.  </w:t>
      </w:r>
    </w:p>
    <w:p>
      <w:pPr>
        <w:pStyle w:val="Normal"/>
        <w:spacing w:lineRule="auto" w:line="300" w:before="0"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cs="Times New Roman" w:ascii="Times New Roman" w:hAnsi="Times New Roman"/>
          <w:sz w:val="30"/>
          <w:szCs w:val="30"/>
        </w:rPr>
        <w:t>Тема «</w:t>
      </w:r>
      <w:r>
        <w:rPr>
          <w:rFonts w:cs="Times New Roman" w:ascii="Times New Roman" w:hAnsi="Times New Roman"/>
          <w:b/>
          <w:bCs/>
          <w:sz w:val="30"/>
          <w:szCs w:val="30"/>
        </w:rPr>
        <w:t>Сложное прошлое: разнообразное будущее»</w:t>
      </w:r>
      <w:r>
        <w:rPr>
          <w:rFonts w:cs="Times New Roman" w:ascii="Times New Roman" w:hAnsi="Times New Roman"/>
          <w:sz w:val="30"/>
          <w:szCs w:val="30"/>
        </w:rPr>
        <w:t xml:space="preserve"> является актуальной для нашего Объекта.</w:t>
      </w:r>
    </w:p>
    <w:p>
      <w:pPr>
        <w:pStyle w:val="Normal"/>
        <w:spacing w:lineRule="auto" w:line="300" w:before="0" w:after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cs="Times New Roman" w:ascii="Times New Roman" w:hAnsi="Times New Roman"/>
          <w:sz w:val="30"/>
          <w:szCs w:val="30"/>
        </w:rPr>
        <w:tab/>
      </w:r>
      <w:r>
        <w:rPr>
          <w:rFonts w:cs="Times New Roman" w:ascii="Times New Roman" w:hAnsi="Times New Roman"/>
          <w:b/>
          <w:bCs/>
          <w:sz w:val="30"/>
          <w:szCs w:val="30"/>
        </w:rPr>
        <w:t>Девять</w:t>
      </w:r>
      <w:r>
        <w:rPr>
          <w:rFonts w:cs="Times New Roman" w:ascii="Times New Roman" w:hAnsi="Times New Roman"/>
          <w:sz w:val="30"/>
          <w:szCs w:val="30"/>
        </w:rPr>
        <w:t xml:space="preserve"> компонентов объекта</w:t>
      </w:r>
    </w:p>
    <w:p>
      <w:pPr>
        <w:pStyle w:val="Normal"/>
        <w:spacing w:lineRule="auto" w:line="300" w:before="0" w:after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cs="Times New Roman" w:ascii="Times New Roman" w:hAnsi="Times New Roman"/>
          <w:sz w:val="30"/>
          <w:szCs w:val="30"/>
        </w:rPr>
        <w:t xml:space="preserve">( Собор Иоанна Предтечи Ивановского монастыря, 1240 г; </w:t>
      </w:r>
    </w:p>
    <w:p>
      <w:pPr>
        <w:pStyle w:val="Normal"/>
        <w:spacing w:lineRule="auto" w:line="300" w:before="0" w:after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cs="Times New Roman" w:ascii="Times New Roman" w:hAnsi="Times New Roman"/>
          <w:sz w:val="30"/>
          <w:szCs w:val="30"/>
        </w:rPr>
        <w:t xml:space="preserve">Ансамбля Снетогорского монастыря: собор Рождества Богородицы, XIV в.; </w:t>
      </w:r>
    </w:p>
    <w:p>
      <w:pPr>
        <w:pStyle w:val="Normal"/>
        <w:spacing w:lineRule="auto" w:line="300" w:before="0" w:after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cs="Times New Roman" w:ascii="Times New Roman" w:hAnsi="Times New Roman"/>
          <w:sz w:val="30"/>
          <w:szCs w:val="30"/>
        </w:rPr>
        <w:t xml:space="preserve">Церковь Архангела Михаила с колокольней, XIV в.; </w:t>
      </w:r>
    </w:p>
    <w:p>
      <w:pPr>
        <w:pStyle w:val="Normal"/>
        <w:spacing w:lineRule="auto" w:line="300" w:before="0" w:after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cs="Times New Roman" w:ascii="Times New Roman" w:hAnsi="Times New Roman"/>
          <w:sz w:val="30"/>
          <w:szCs w:val="30"/>
        </w:rPr>
        <w:t xml:space="preserve">Церковь Покрова от Пролома, XV-XVI вв.; </w:t>
      </w:r>
    </w:p>
    <w:p>
      <w:pPr>
        <w:pStyle w:val="Normal"/>
        <w:spacing w:lineRule="auto" w:line="300" w:before="0" w:after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cs="Times New Roman" w:ascii="Times New Roman" w:hAnsi="Times New Roman"/>
          <w:sz w:val="30"/>
          <w:szCs w:val="30"/>
        </w:rPr>
        <w:t xml:space="preserve">Церковь Косьмы и Дамиана с Примостья, остатки колокольни, ворота                   и ограда, XV-XVII вв.; </w:t>
      </w:r>
    </w:p>
    <w:p>
      <w:pPr>
        <w:pStyle w:val="Normal"/>
        <w:spacing w:lineRule="auto" w:line="300" w:before="0" w:after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cs="Times New Roman" w:ascii="Times New Roman" w:hAnsi="Times New Roman"/>
          <w:sz w:val="30"/>
          <w:szCs w:val="30"/>
        </w:rPr>
        <w:t xml:space="preserve">Церковь Георгия со Взвоза, 1494 г.; </w:t>
      </w:r>
    </w:p>
    <w:p>
      <w:pPr>
        <w:pStyle w:val="Normal"/>
        <w:spacing w:lineRule="auto" w:line="300" w:before="0" w:after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cs="Times New Roman" w:ascii="Times New Roman" w:hAnsi="Times New Roman"/>
          <w:sz w:val="30"/>
          <w:szCs w:val="30"/>
        </w:rPr>
        <w:t xml:space="preserve">Церковь Богоявления со звонницей, 1489 г.; </w:t>
      </w:r>
    </w:p>
    <w:p>
      <w:pPr>
        <w:pStyle w:val="Normal"/>
        <w:spacing w:lineRule="auto" w:line="300" w:before="0" w:after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cs="Times New Roman" w:ascii="Times New Roman" w:hAnsi="Times New Roman"/>
          <w:sz w:val="30"/>
          <w:szCs w:val="30"/>
        </w:rPr>
        <w:t xml:space="preserve">Церковь Николы со Усохи, XVI в.; </w:t>
      </w:r>
    </w:p>
    <w:p>
      <w:pPr>
        <w:pStyle w:val="Normal"/>
        <w:spacing w:lineRule="auto" w:line="300" w:before="0" w:after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cs="Times New Roman" w:ascii="Times New Roman" w:hAnsi="Times New Roman"/>
          <w:sz w:val="30"/>
          <w:szCs w:val="30"/>
        </w:rPr>
        <w:t>Церковь Василия на горке, XV в.) пройдя свой сложный исторический путь, сегодня являются действующими храмами Русской Православной церкви.</w:t>
      </w:r>
    </w:p>
    <w:p>
      <w:pPr>
        <w:pStyle w:val="Normal"/>
        <w:spacing w:lineRule="auto" w:line="300" w:before="0" w:after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cs="Times New Roman" w:ascii="Times New Roman" w:hAnsi="Times New Roman"/>
          <w:sz w:val="30"/>
          <w:szCs w:val="30"/>
        </w:rPr>
        <w:tab/>
      </w:r>
      <w:r>
        <w:rPr>
          <w:rFonts w:cs="Times New Roman" w:ascii="Times New Roman" w:hAnsi="Times New Roman"/>
          <w:b/>
          <w:bCs/>
          <w:sz w:val="30"/>
          <w:szCs w:val="30"/>
        </w:rPr>
        <w:t>Преображенский собор, XII в, Ансамбля Спасо - Мирожского монастыря</w:t>
      </w:r>
      <w:r>
        <w:rPr>
          <w:rFonts w:cs="Times New Roman" w:ascii="Times New Roman" w:hAnsi="Times New Roman"/>
          <w:sz w:val="30"/>
          <w:szCs w:val="30"/>
        </w:rPr>
        <w:t xml:space="preserve"> можно привести, как пример изменения первоначального исторического функционала путем музеефикации. Сейчас он находиться                в пользовании ФГБУК «Псково - Изборского объединенного музея-заповедника». Но не смотря на это, двенадцать раз в год используется для проведения богослужений. </w:t>
      </w:r>
    </w:p>
    <w:p>
      <w:pPr>
        <w:pStyle w:val="Normal"/>
        <w:spacing w:lineRule="auto" w:line="300" w:before="0" w:after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cs="Times New Roman" w:ascii="Times New Roman" w:hAnsi="Times New Roman"/>
          <w:sz w:val="30"/>
          <w:szCs w:val="30"/>
        </w:rPr>
        <w:tab/>
        <w:t>Одним из стратегических целей управления объектом Всемирного наследия является достижение общественного согласия относительно сохранения, использования и устойчивого развития, что и является темой сегодняшнего дискуссионного клуба, а так же залогом благополучного настоящего и будущего наших памятников.</w:t>
      </w:r>
    </w:p>
    <w:p>
      <w:pPr>
        <w:pStyle w:val="Normal"/>
        <w:spacing w:lineRule="auto" w:line="300" w:before="0" w:after="0"/>
        <w:jc w:val="both"/>
        <w:rPr>
          <w:rFonts w:ascii="Calibri" w:hAnsi="Calibri" w:cs="Calibri"/>
        </w:rPr>
      </w:pPr>
      <w:r>
        <w:rPr>
          <w:rFonts w:cs="Calibri" w:ascii="Times New Roman" w:hAnsi="Times New Roman"/>
          <w:sz w:val="30"/>
          <w:szCs w:val="30"/>
        </w:rPr>
      </w:r>
    </w:p>
    <w:p>
      <w:pPr>
        <w:pStyle w:val="Normal"/>
        <w:spacing w:lineRule="auto" w:line="300" w:before="0" w:after="0"/>
        <w:jc w:val="both"/>
        <w:rPr>
          <w:rFonts w:ascii="Calibri" w:hAnsi="Calibri" w:cs="Calibri"/>
        </w:rPr>
      </w:pPr>
      <w:r>
        <w:rPr>
          <w:rFonts w:cs="Calibri" w:ascii="Times New Roman" w:hAnsi="Times New Roman"/>
          <w:sz w:val="30"/>
          <w:szCs w:val="30"/>
        </w:rPr>
      </w:r>
    </w:p>
    <w:p>
      <w:pPr>
        <w:pStyle w:val="Normal"/>
        <w:spacing w:lineRule="auto" w:line="300" w:before="0" w:after="140"/>
        <w:jc w:val="both"/>
        <w:rPr>
          <w:rFonts w:ascii="Times New Roman" w:hAnsi="Times New Roman" w:cs="Times New Roman"/>
          <w:b/>
          <w:b/>
          <w:bCs/>
          <w:sz w:val="30"/>
          <w:szCs w:val="30"/>
        </w:rPr>
      </w:pPr>
      <w:r>
        <w:rPr>
          <w:rFonts w:cs="Times New Roman" w:ascii="Times New Roman" w:hAnsi="Times New Roman"/>
          <w:b/>
          <w:bCs/>
          <w:sz w:val="30"/>
          <w:szCs w:val="30"/>
        </w:rPr>
        <w:tab/>
        <w:t xml:space="preserve">18 апреля можно считать профессиональным праздником всех специалистов, чья деятельность связана с сохранением культурного наследия. </w:t>
      </w:r>
    </w:p>
    <w:p>
      <w:pPr>
        <w:pStyle w:val="Normal"/>
        <w:spacing w:lineRule="auto" w:line="300" w:before="0" w:after="140"/>
        <w:jc w:val="both"/>
        <w:rPr>
          <w:rFonts w:ascii="Times New Roman" w:hAnsi="Times New Roman" w:cs="Times New Roman"/>
          <w:b/>
          <w:b/>
          <w:bCs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</w:r>
    </w:p>
    <w:p>
      <w:pPr>
        <w:pStyle w:val="Normal"/>
        <w:spacing w:lineRule="auto" w:line="300" w:before="0" w:after="0"/>
        <w:jc w:val="both"/>
        <w:rPr>
          <w:rFonts w:ascii="Calibri" w:hAnsi="Calibri" w:cs="Calibri"/>
          <w:lang w:val="en-US"/>
        </w:rPr>
      </w:pPr>
      <w:r>
        <w:rPr>
          <w:rFonts w:cs="Calibri" w:ascii="Times New Roman" w:hAnsi="Times New Roman"/>
          <w:sz w:val="30"/>
          <w:szCs w:val="30"/>
          <w:lang w:val="en-US"/>
        </w:rPr>
      </w:r>
    </w:p>
    <w:p>
      <w:pPr>
        <w:pStyle w:val="Normal"/>
        <w:spacing w:before="0" w:after="20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</w:r>
    </w:p>
    <w:sectPr>
      <w:type w:val="nextPage"/>
      <w:pgSz w:w="12240" w:h="15840"/>
      <w:pgMar w:left="1701" w:right="850" w:header="0" w:top="1134" w:footer="0" w:bottom="1134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numFmt w:val="bullet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LibreOffice/6.4.3.2$Windows_x86 LibreOffice_project/747b5d0ebf89f41c860ec2a39efd7cb15b54f2d8</Application>
  <Pages>4</Pages>
  <Words>707</Words>
  <Characters>4938</Characters>
  <CharactersWithSpaces>5858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2021-05-25T11:22:00Z</dcterms:created>
  <dc:creator>Юнеско 1</dc:creator>
  <dc:description/>
  <dc:language>ru-RU</dc:language>
  <cp:lastModifiedBy/>
  <dcterms:modified xsi:type="dcterms:W3CDTF">2021-05-25T17:04:31Z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